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CC" w:rsidRPr="003D6AD5" w:rsidRDefault="003F3DCC" w:rsidP="003F3DC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9D573F">
        <w:rPr>
          <w:rFonts w:ascii="Times New Roman" w:hAnsi="Times New Roman" w:cs="Times New Roman"/>
          <w:b/>
          <w:bCs/>
          <w:sz w:val="20"/>
          <w:szCs w:val="20"/>
          <w:lang w:val="en-US"/>
        </w:rPr>
        <w:t>S.22.0</w:t>
      </w:r>
      <w:r w:rsidR="000B5DAE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Pr="009D573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– </w:t>
      </w:r>
      <w:r w:rsidRPr="00EA404E">
        <w:rPr>
          <w:rFonts w:ascii="Times New Roman" w:hAnsi="Times New Roman" w:cs="Times New Roman"/>
          <w:b/>
          <w:sz w:val="20"/>
          <w:szCs w:val="20"/>
          <w:lang w:val="en-GB"/>
        </w:rPr>
        <w:t>Projection of future cash flo</w:t>
      </w:r>
      <w:r w:rsidRPr="003D6AD5">
        <w:rPr>
          <w:rFonts w:ascii="Times New Roman" w:hAnsi="Times New Roman" w:cs="Times New Roman"/>
          <w:b/>
          <w:sz w:val="20"/>
          <w:szCs w:val="20"/>
          <w:lang w:val="en-GB"/>
        </w:rPr>
        <w:t>ws (Best Estimate - Matching portfolios)</w:t>
      </w:r>
    </w:p>
    <w:p w:rsidR="003F3DCC" w:rsidRPr="003D6AD5" w:rsidRDefault="003F3DCC" w:rsidP="003F3DC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D6AD5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:rsidR="000B5DAE" w:rsidRPr="00850743" w:rsidRDefault="000B5DAE" w:rsidP="000B5DAE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850743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B5DAE" w:rsidRDefault="000B5DAE" w:rsidP="000B5DA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DB5440" w:rsidRPr="004E7CD2" w:rsidRDefault="00DB5440" w:rsidP="00DB5440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4E7CD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This template shall be reported by each matching portfolio approved by the supervisory authority. </w:t>
      </w:r>
    </w:p>
    <w:tbl>
      <w:tblPr>
        <w:tblStyle w:val="TableGrid"/>
        <w:tblW w:w="8710" w:type="dxa"/>
        <w:jc w:val="center"/>
        <w:tblLayout w:type="fixed"/>
        <w:tblLook w:val="04A0" w:firstRow="1" w:lastRow="0" w:firstColumn="1" w:lastColumn="0" w:noHBand="0" w:noVBand="1"/>
      </w:tblPr>
      <w:tblGrid>
        <w:gridCol w:w="1337"/>
        <w:gridCol w:w="6"/>
        <w:gridCol w:w="2727"/>
        <w:gridCol w:w="4630"/>
        <w:gridCol w:w="10"/>
      </w:tblGrid>
      <w:tr w:rsidR="000B5DAE" w:rsidRPr="000B5DAE" w:rsidTr="00850743">
        <w:trPr>
          <w:gridAfter w:val="1"/>
          <w:wAfter w:w="10" w:type="dxa"/>
          <w:trHeight w:val="300"/>
          <w:jc w:val="center"/>
        </w:trPr>
        <w:tc>
          <w:tcPr>
            <w:tcW w:w="1345" w:type="dxa"/>
            <w:gridSpan w:val="2"/>
            <w:hideMark/>
          </w:tcPr>
          <w:p w:rsidR="000B5DAE" w:rsidRPr="00850743" w:rsidRDefault="000B5DAE" w:rsidP="00850743">
            <w:pPr>
              <w:ind w:left="-18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727" w:type="dxa"/>
            <w:hideMark/>
          </w:tcPr>
          <w:p w:rsidR="000B5DAE" w:rsidRPr="00850743" w:rsidRDefault="000B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5074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ITEM</w:t>
            </w:r>
          </w:p>
        </w:tc>
        <w:tc>
          <w:tcPr>
            <w:tcW w:w="4638" w:type="dxa"/>
            <w:hideMark/>
          </w:tcPr>
          <w:p w:rsidR="000B5DAE" w:rsidRPr="00850743" w:rsidRDefault="000B5DAE" w:rsidP="00947975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5074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                      INSTRUCTIONS</w:t>
            </w:r>
          </w:p>
        </w:tc>
      </w:tr>
      <w:tr w:rsidR="00AE2123" w:rsidRPr="00DA1E55" w:rsidTr="00850743">
        <w:tblPrEx>
          <w:jc w:val="left"/>
        </w:tblPrEx>
        <w:tc>
          <w:tcPr>
            <w:tcW w:w="1339" w:type="dxa"/>
          </w:tcPr>
          <w:p w:rsidR="00AE2123" w:rsidRPr="003D6AD5" w:rsidRDefault="00AE212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Z0010</w:t>
            </w:r>
          </w:p>
        </w:tc>
        <w:tc>
          <w:tcPr>
            <w:tcW w:w="2738" w:type="dxa"/>
            <w:gridSpan w:val="2"/>
          </w:tcPr>
          <w:p w:rsidR="00AE2123" w:rsidRPr="003D6AD5" w:rsidRDefault="00AE212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Matching portfolio</w:t>
            </w:r>
          </w:p>
        </w:tc>
        <w:tc>
          <w:tcPr>
            <w:tcW w:w="4643" w:type="dxa"/>
            <w:gridSpan w:val="2"/>
          </w:tcPr>
          <w:p w:rsidR="009D573F" w:rsidRDefault="009D573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Indicate the number which is attributed by the undertaking, corresponding to the unique number assigned to each matching portfolio. </w:t>
            </w:r>
          </w:p>
          <w:p w:rsidR="000B5DAE" w:rsidRPr="003D6AD5" w:rsidRDefault="000B5DA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AE2123" w:rsidRDefault="009D573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This number </w:t>
            </w:r>
            <w:r w:rsid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shall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be consistent over time and </w:t>
            </w:r>
            <w:r w:rsidR="00BA4E1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shall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be used to identify the matching portfolio number in other templates.</w:t>
            </w:r>
          </w:p>
          <w:p w:rsidR="000B5DAE" w:rsidRPr="003D6AD5" w:rsidRDefault="000B5DA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3428C" w:rsidRPr="00DA1E55" w:rsidTr="00850743">
        <w:tblPrEx>
          <w:jc w:val="left"/>
        </w:tblPrEx>
        <w:tc>
          <w:tcPr>
            <w:tcW w:w="1339" w:type="dxa"/>
          </w:tcPr>
          <w:p w:rsidR="00711345" w:rsidRDefault="001947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C0020/</w:t>
            </w:r>
          </w:p>
          <w:p w:rsidR="0083428C" w:rsidRPr="003D6AD5" w:rsidRDefault="001947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R0010 to R0450</w:t>
            </w:r>
          </w:p>
        </w:tc>
        <w:tc>
          <w:tcPr>
            <w:tcW w:w="2738" w:type="dxa"/>
            <w:gridSpan w:val="2"/>
          </w:tcPr>
          <w:p w:rsidR="0083428C" w:rsidRPr="003D6AD5" w:rsidRDefault="007E0D6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Projection of future c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ash</w:t>
            </w:r>
            <w:r w:rsidR="000245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flows </w:t>
            </w:r>
            <w:r w:rsidR="000B5DAE" w:rsidRP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end of the reporting period</w:t>
            </w:r>
            <w:r w:rsid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– </w:t>
            </w:r>
            <w:r w:rsidR="00A2453D" w:rsidRPr="00A245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Longevity, mortality and revision obligations cash outflows</w:t>
            </w:r>
          </w:p>
        </w:tc>
        <w:tc>
          <w:tcPr>
            <w:tcW w:w="4643" w:type="dxa"/>
            <w:gridSpan w:val="2"/>
          </w:tcPr>
          <w:p w:rsidR="0083428C" w:rsidRDefault="005A05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Future c</w:t>
            </w:r>
            <w:r w:rsidR="00E52D75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ash out-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flows </w:t>
            </w:r>
            <w:r w:rsidR="007774E8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related to the longevity</w:t>
            </w:r>
            <w:r w:rsidR="00A245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7774E8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mortality</w:t>
            </w:r>
            <w:r w:rsidR="00A245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and revision</w:t>
            </w:r>
            <w:r w:rsidR="007774E8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D3B0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benefits of 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insurance</w:t>
            </w:r>
            <w:r w:rsidR="00E52D75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and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reinsurance obligations for each matching</w:t>
            </w:r>
            <w:r w:rsidR="00E52D75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portfolio and split by</w:t>
            </w:r>
            <w:r w:rsidR="0083428C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year of due payment of the cash flow, counting the periods of 12 months from the date of reference of the reporting</w:t>
            </w:r>
            <w:r w:rsidR="004525E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:rsidR="004525EB" w:rsidRPr="003D6AD5" w:rsidRDefault="004525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9474E" w:rsidRPr="00DA1E55" w:rsidTr="00850743">
        <w:tblPrEx>
          <w:jc w:val="left"/>
        </w:tblPrEx>
        <w:tc>
          <w:tcPr>
            <w:tcW w:w="1339" w:type="dxa"/>
          </w:tcPr>
          <w:p w:rsidR="0019474E" w:rsidRPr="003D6AD5" w:rsidRDefault="005A05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C0030/ R0010 to R0450</w:t>
            </w:r>
          </w:p>
        </w:tc>
        <w:tc>
          <w:tcPr>
            <w:tcW w:w="2738" w:type="dxa"/>
            <w:gridSpan w:val="2"/>
          </w:tcPr>
          <w:p w:rsidR="0019474E" w:rsidRPr="003D6AD5" w:rsidRDefault="005A05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Projection of future cash</w:t>
            </w:r>
            <w:r w:rsidR="000245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flows</w:t>
            </w:r>
            <w:r w:rsid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B5DAE" w:rsidRP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end of the reporting period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– Expenses cash </w:t>
            </w:r>
            <w:r w:rsidR="000245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out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flows</w:t>
            </w:r>
          </w:p>
        </w:tc>
        <w:tc>
          <w:tcPr>
            <w:tcW w:w="4643" w:type="dxa"/>
            <w:gridSpan w:val="2"/>
          </w:tcPr>
          <w:p w:rsidR="0019474E" w:rsidRDefault="00A737E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Future cash out-flows </w:t>
            </w:r>
            <w:r w:rsidR="007774E8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related to the expenses 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insurance and reinsurance obligations for each matching portfolio and split by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year of due payment of the cash flow, counting the periods of 12 months from the date of reference of the reporting</w:t>
            </w:r>
            <w:r w:rsidR="004525E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:rsidR="004525EB" w:rsidRPr="003D6AD5" w:rsidRDefault="004525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E0D63" w:rsidRPr="00DA1E55" w:rsidTr="00850743">
        <w:tblPrEx>
          <w:jc w:val="left"/>
        </w:tblPrEx>
        <w:tc>
          <w:tcPr>
            <w:tcW w:w="1339" w:type="dxa"/>
          </w:tcPr>
          <w:p w:rsidR="007E0D63" w:rsidRPr="003D6AD5" w:rsidRDefault="00C16D5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C0040/ R0010 to R0450</w:t>
            </w:r>
          </w:p>
        </w:tc>
        <w:tc>
          <w:tcPr>
            <w:tcW w:w="2738" w:type="dxa"/>
            <w:gridSpan w:val="2"/>
          </w:tcPr>
          <w:p w:rsidR="007E0D63" w:rsidRPr="003D6AD5" w:rsidRDefault="005A05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Projection of future </w:t>
            </w:r>
            <w:proofErr w:type="spellStart"/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cashflows</w:t>
            </w:r>
            <w:proofErr w:type="spellEnd"/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B5DAE" w:rsidRP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end of the reporting period</w:t>
            </w:r>
            <w:r w:rsidR="000B5D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De-risked Assets cash-flows</w:t>
            </w:r>
          </w:p>
        </w:tc>
        <w:tc>
          <w:tcPr>
            <w:tcW w:w="4643" w:type="dxa"/>
            <w:gridSpan w:val="2"/>
          </w:tcPr>
          <w:p w:rsidR="007E0D63" w:rsidRDefault="002160C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Cash flows </w:t>
            </w:r>
            <w:r w:rsidR="007774E8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(out-flows and in-flows) 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assets linked to each matching portfolio and split by </w:t>
            </w:r>
            <w:r w:rsidR="003D3B0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year of due payment or receipt of the cash flow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This flows should </w:t>
            </w:r>
            <w:r w:rsidR="00DC50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 appropriately corrected to take into account the fundamental spread as set out in article 77c (1</w:t>
            </w:r>
            <w:proofErr w:type="gramStart"/>
            <w:r w:rsidR="00DC50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)(</w:t>
            </w:r>
            <w:proofErr w:type="gramEnd"/>
            <w:r w:rsidR="00DC50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c) of </w:t>
            </w:r>
            <w:bookmarkStart w:id="0" w:name="_GoBack"/>
            <w:r w:rsidR="00DC50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Dire</w:t>
            </w:r>
            <w:bookmarkEnd w:id="0"/>
            <w:r w:rsidR="00DC50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ctive 2009/138/EC. </w:t>
            </w:r>
          </w:p>
          <w:p w:rsidR="004525EB" w:rsidRPr="003D6AD5" w:rsidRDefault="004525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E0D63" w:rsidRPr="00DA1E55" w:rsidTr="00850743">
        <w:tblPrEx>
          <w:jc w:val="left"/>
        </w:tblPrEx>
        <w:tc>
          <w:tcPr>
            <w:tcW w:w="1339" w:type="dxa"/>
          </w:tcPr>
          <w:p w:rsidR="007E0D63" w:rsidRPr="003D6AD5" w:rsidRDefault="002160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C0050/ R0010 to R0450</w:t>
            </w:r>
          </w:p>
        </w:tc>
        <w:tc>
          <w:tcPr>
            <w:tcW w:w="2738" w:type="dxa"/>
            <w:gridSpan w:val="2"/>
          </w:tcPr>
          <w:p w:rsidR="007E0D63" w:rsidRPr="003D6AD5" w:rsidRDefault="004525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25E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Mismatch during reporting period </w:t>
            </w:r>
            <w:r w:rsidR="00011C44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Positive undiscounted mismatch (inflows &gt; outflows)</w:t>
            </w:r>
          </w:p>
          <w:p w:rsidR="00011C44" w:rsidRPr="003D6AD5" w:rsidRDefault="00011C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43" w:type="dxa"/>
            <w:gridSpan w:val="2"/>
          </w:tcPr>
          <w:p w:rsidR="007E0D63" w:rsidRPr="003D6AD5" w:rsidRDefault="0029302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If the frequency is lower that yearly then report the s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um of the positive undiscounted mismatch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(inflows &gt; outflows)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through the year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each row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  <w:p w:rsidR="00293024" w:rsidRDefault="00F5442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Positive mismatches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for some </w:t>
            </w:r>
            <w:r w:rsidR="0029302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periods</w:t>
            </w:r>
            <w:r w:rsidR="00293024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shall not be netted off of negative mismatches. </w:t>
            </w:r>
          </w:p>
          <w:p w:rsidR="001F2D26" w:rsidRPr="003D6AD5" w:rsidRDefault="001F2D2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E0D63" w:rsidRPr="00DA1E55" w:rsidTr="00850743">
        <w:tblPrEx>
          <w:jc w:val="left"/>
        </w:tblPrEx>
        <w:tc>
          <w:tcPr>
            <w:tcW w:w="1339" w:type="dxa"/>
          </w:tcPr>
          <w:p w:rsidR="007E0D63" w:rsidRPr="003D6AD5" w:rsidRDefault="00CA2C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C0060/ R0010 to R0450</w:t>
            </w:r>
          </w:p>
        </w:tc>
        <w:tc>
          <w:tcPr>
            <w:tcW w:w="2738" w:type="dxa"/>
            <w:gridSpan w:val="2"/>
          </w:tcPr>
          <w:p w:rsidR="007E0D63" w:rsidRPr="003D6AD5" w:rsidRDefault="004525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25E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Mismatch during reporting period 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Negative </w:t>
            </w:r>
            <w:r w:rsidR="00CA2C4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undiscounted </w:t>
            </w:r>
            <w:r w:rsidR="000245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mis</w:t>
            </w:r>
            <w:r w:rsidR="00CA2C4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match (inflows &lt; outflows)</w:t>
            </w:r>
          </w:p>
        </w:tc>
        <w:tc>
          <w:tcPr>
            <w:tcW w:w="4643" w:type="dxa"/>
            <w:gridSpan w:val="2"/>
          </w:tcPr>
          <w:p w:rsidR="007E0D63" w:rsidRPr="003D6AD5" w:rsidRDefault="0029302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If the frequency is lower that yearly then report the s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um of the deficit undiscounted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mis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match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</w:t>
            </w:r>
            <w:r w:rsidR="00A737E7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(inflows &lt; outflows)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through the year of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each row</w:t>
            </w:r>
            <w:r w:rsidR="00E0309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:rsidR="00F5442B" w:rsidRDefault="0029302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Negative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F5442B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mismatches </w:t>
            </w:r>
            <w:r w:rsidR="00EA404E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for some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</w:t>
            </w:r>
            <w:r w:rsidR="009B629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ds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F5442B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shall not be netted off of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positive</w:t>
            </w:r>
            <w:r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F5442B" w:rsidRPr="003D6A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mismatches.</w:t>
            </w:r>
          </w:p>
          <w:p w:rsidR="001F2D26" w:rsidRPr="003D6AD5" w:rsidRDefault="001F2D2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641969" w:rsidRPr="009D573F" w:rsidRDefault="00641969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641969" w:rsidRPr="009D57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11C44"/>
    <w:rsid w:val="000245A9"/>
    <w:rsid w:val="000518CB"/>
    <w:rsid w:val="000B5DAE"/>
    <w:rsid w:val="00122A65"/>
    <w:rsid w:val="0019474E"/>
    <w:rsid w:val="001E7926"/>
    <w:rsid w:val="001F2D26"/>
    <w:rsid w:val="001F7112"/>
    <w:rsid w:val="002160CC"/>
    <w:rsid w:val="00293024"/>
    <w:rsid w:val="003D3B07"/>
    <w:rsid w:val="003D6AD5"/>
    <w:rsid w:val="003F3DCC"/>
    <w:rsid w:val="004525EB"/>
    <w:rsid w:val="00476C6B"/>
    <w:rsid w:val="005A05CE"/>
    <w:rsid w:val="00641969"/>
    <w:rsid w:val="006907DE"/>
    <w:rsid w:val="00696CE3"/>
    <w:rsid w:val="006C78AE"/>
    <w:rsid w:val="00711345"/>
    <w:rsid w:val="007774E8"/>
    <w:rsid w:val="007A62B3"/>
    <w:rsid w:val="007E0D63"/>
    <w:rsid w:val="0083428C"/>
    <w:rsid w:val="00850743"/>
    <w:rsid w:val="008705D5"/>
    <w:rsid w:val="008E3AA1"/>
    <w:rsid w:val="009B6298"/>
    <w:rsid w:val="009D573F"/>
    <w:rsid w:val="009F4C8D"/>
    <w:rsid w:val="00A2453D"/>
    <w:rsid w:val="00A737E7"/>
    <w:rsid w:val="00AD04FC"/>
    <w:rsid w:val="00AE2123"/>
    <w:rsid w:val="00BA2ED4"/>
    <w:rsid w:val="00BA4E1C"/>
    <w:rsid w:val="00BD7FD4"/>
    <w:rsid w:val="00C16D55"/>
    <w:rsid w:val="00CA2C47"/>
    <w:rsid w:val="00D565D1"/>
    <w:rsid w:val="00DA1E55"/>
    <w:rsid w:val="00DB5440"/>
    <w:rsid w:val="00DC50E3"/>
    <w:rsid w:val="00DF5603"/>
    <w:rsid w:val="00E03092"/>
    <w:rsid w:val="00E52D75"/>
    <w:rsid w:val="00EA404E"/>
    <w:rsid w:val="00F5442B"/>
    <w:rsid w:val="00FC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A4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0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0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0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A4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0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0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14</cp:revision>
  <dcterms:created xsi:type="dcterms:W3CDTF">2014-10-02T11:07:00Z</dcterms:created>
  <dcterms:modified xsi:type="dcterms:W3CDTF">2014-11-17T12:01:00Z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147033779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-865238289</vt:i4>
  </property>
  <property fmtid="{D5CDD505-2E9C-101B-9397-08002B2CF9AE}" pid="8" name="_ReviewingToolsShownOnce">
    <vt:lpwstr/>
  </property>
</Properties>
</file>